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3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6"/>
          <w:shd w:fill="auto" w:val="clear"/>
        </w:rPr>
        <w:t xml:space="preserve">青少年籃球運動人才培育</w:t>
      </w: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6"/>
          <w:shd w:fill="auto" w:val="clear"/>
        </w:rPr>
        <w:t xml:space="preserve">中華民國籃球協會103年培育學校教練增能計畫</w:t>
      </w:r>
    </w:p>
    <w:p>
      <w:pPr>
        <w:numPr>
          <w:ilvl w:val="0"/>
          <w:numId w:val="2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6"/>
          <w:shd w:fill="auto" w:val="clear"/>
        </w:rPr>
        <w:t xml:space="preserve">背景</w:t>
      </w:r>
    </w:p>
    <w:p>
      <w:pPr>
        <w:spacing w:before="0" w:after="0" w:line="240"/>
        <w:ind w:right="0" w:left="0" w:firstLine="5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在台灣，籃球運動一直受到國人關注，也是青年學子最喜愛的活動之一，近年亞洲籃壇生態丕變，西亞籃球強權的崛起，致使亞洲各國無一能夠穩操勝算，亞洲籃壇進入新戰國時代。</w:t>
      </w:r>
    </w:p>
    <w:p>
      <w:pPr>
        <w:spacing w:before="0" w:after="0" w:line="240"/>
        <w:ind w:right="0" w:left="0" w:firstLine="5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放眼國際籃壇，諸如西班牙、俄羅斯、塞爾維亞、阿根廷等歐美強國，乃至於亞洲的日本、韓國均吹起「籃球再造工程」之號角，無不針對基層籃球運動再往下紮根，自小學開始一貫化制度的長期培訓，並組成青年培訓隊，進而延續至國家儲訓隊長期培訓。</w:t>
      </w:r>
    </w:p>
    <w:p>
      <w:pPr>
        <w:spacing w:before="0" w:after="0" w:line="240"/>
        <w:ind w:right="0" w:left="0" w:firstLine="5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長久以來，國內並無適當及統一性的籃球教學訓練教材，導致青少年球員的動作技術與觀念良莠不齊。因此在102年7月，教育部體育署委由中華籃協展開「青少年籃球運動人才培育計畫」，首先引進國際籃總(FIBA)所出版的青少年籃球教材「青少年籃球-教練指南」Basketball for Young Players-Guidelines for Coaches翻譯編輯成冊，作為基層籃球訓練的參考資料，以饜基層籃壇之需。</w:t>
      </w:r>
    </w:p>
    <w:p>
      <w:pPr>
        <w:spacing w:before="0" w:after="0" w:line="240"/>
        <w:ind w:right="0" w:left="0" w:firstLine="5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為更能發揮計畫成效，促使籃球教學朝向「技術統一性」發展，落實基層紮根工作，為本會103年度重點工作。</w:t>
      </w:r>
    </w:p>
    <w:p>
      <w:pPr>
        <w:numPr>
          <w:ilvl w:val="0"/>
          <w:numId w:val="4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6"/>
          <w:shd w:fill="auto" w:val="clear"/>
        </w:rPr>
        <w:t xml:space="preserve">計畫目標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建立基層籃球教學及訓練一致性，提升基層籃球教練專業知能。</w:t>
      </w:r>
    </w:p>
    <w:p>
      <w:pPr>
        <w:numPr>
          <w:ilvl w:val="0"/>
          <w:numId w:val="6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計畫期程：自103年4月-12月  一年計畫</w:t>
      </w:r>
    </w:p>
    <w:p>
      <w:pPr>
        <w:numPr>
          <w:ilvl w:val="0"/>
          <w:numId w:val="6"/>
        </w:numPr>
        <w:spacing w:before="0" w:after="0" w:line="240"/>
        <w:ind w:right="0" w:left="952" w:hanging="952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實施對象：全國各級學校籃球專任教練，組隊參加各級學校聯賽之學校籃球隊教練，大專院校對籃球有興趣之學生。</w:t>
      </w:r>
    </w:p>
    <w:p>
      <w:pPr>
        <w:numPr>
          <w:ilvl w:val="0"/>
          <w:numId w:val="6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6"/>
          <w:shd w:fill="auto" w:val="clear"/>
        </w:rPr>
        <w:t xml:space="preserve">實施策略及內容</w:t>
      </w:r>
    </w:p>
    <w:p>
      <w:pPr>
        <w:numPr>
          <w:ilvl w:val="0"/>
          <w:numId w:val="6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教學訓練資料編修：</w:t>
      </w:r>
    </w:p>
    <w:p>
      <w:pPr>
        <w:spacing w:before="0" w:after="0" w:line="240"/>
        <w:ind w:right="0" w:left="724" w:hanging="263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1.重新製作拷貝及口譯籃球協會取得美國Championship Books &amp; Video Productions公司授權製作之「籃球家庭作業」影音教材，作為103年度培育基層教練的輔助教材。</w:t>
      </w:r>
    </w:p>
    <w:p>
      <w:pPr>
        <w:spacing w:before="0" w:after="0" w:line="240"/>
        <w:ind w:right="0" w:left="48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2.持續印製102年度「青少年籃球-教練指南」供為研習會主要教材。</w:t>
      </w:r>
    </w:p>
    <w:p>
      <w:pPr>
        <w:numPr>
          <w:ilvl w:val="0"/>
          <w:numId w:val="11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成立師資培育小組：</w:t>
      </w:r>
    </w:p>
    <w:p>
      <w:pPr>
        <w:numPr>
          <w:ilvl w:val="0"/>
          <w:numId w:val="11"/>
        </w:numPr>
        <w:spacing w:before="0" w:after="0" w:line="240"/>
        <w:ind w:right="0" w:left="120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召開師資培育教學準備會議：遴聘曾任國家代表隊之籃球專項技術專家7-9人組成師資培育小組，以青少年籃球-教練指南為範本，研商教學與示範課程內容及統一性的教學方式。</w:t>
      </w:r>
    </w:p>
    <w:p>
      <w:pPr>
        <w:numPr>
          <w:ilvl w:val="0"/>
          <w:numId w:val="11"/>
        </w:numPr>
        <w:spacing w:before="0" w:after="0" w:line="240"/>
        <w:ind w:right="0" w:left="120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召開縣市說明會：體育署發揮行政協調，召集各縣市體育局(處)及健體領域輔導團，結合中華籃協師資培育小組共同辦理各縣市學校教練增能研習活動。</w:t>
      </w:r>
    </w:p>
    <w:p>
      <w:pPr>
        <w:spacing w:before="0" w:after="0" w:line="240"/>
        <w:ind w:right="0" w:left="48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分區研習會：分四區辦理</w:t>
      </w:r>
      <w:r>
        <w:rPr>
          <w:rFonts w:ascii="標楷體" w:hAnsi="標楷體" w:cs="標楷體" w:eastAsia="標楷體"/>
          <w:color w:val="FF0000"/>
          <w:spacing w:val="0"/>
          <w:position w:val="0"/>
          <w:sz w:val="26"/>
          <w:shd w:fill="auto" w:val="clear"/>
        </w:rPr>
        <w:t xml:space="preserve">(北中南區各100人、東區50人)</w:t>
      </w:r>
    </w:p>
    <w:tbl>
      <w:tblPr/>
      <w:tblGrid>
        <w:gridCol w:w="979"/>
        <w:gridCol w:w="4376"/>
        <w:gridCol w:w="2085"/>
        <w:gridCol w:w="1320"/>
      </w:tblGrid>
      <w:tr>
        <w:trPr>
          <w:trHeight w:val="481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分區</w:t>
            </w:r>
          </w:p>
        </w:tc>
        <w:tc>
          <w:tcPr>
            <w:tcW w:w="4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參加縣市</w:t>
            </w:r>
          </w:p>
        </w:tc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地點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時間</w:t>
            </w:r>
          </w:p>
        </w:tc>
      </w:tr>
      <w:tr>
        <w:trPr>
          <w:trHeight w:val="750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北區</w:t>
            </w:r>
          </w:p>
        </w:tc>
        <w:tc>
          <w:tcPr>
            <w:tcW w:w="4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臺北市、新北市、基隆市、桃園縣、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新竹縣、新竹市、外島</w:t>
            </w:r>
          </w:p>
        </w:tc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臺北市立大學博愛校區體育館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6/28-6/29</w:t>
            </w:r>
          </w:p>
        </w:tc>
      </w:tr>
      <w:tr>
        <w:trPr>
          <w:trHeight w:val="750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南區</w:t>
            </w:r>
          </w:p>
        </w:tc>
        <w:tc>
          <w:tcPr>
            <w:tcW w:w="4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臺南市、高雄市、屏東縣、臺東縣</w:t>
            </w:r>
          </w:p>
        </w:tc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國立高雄師範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大學體育館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7/5-7/6</w:t>
            </w:r>
          </w:p>
        </w:tc>
      </w:tr>
      <w:tr>
        <w:trPr>
          <w:trHeight w:val="750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中區</w:t>
            </w:r>
          </w:p>
        </w:tc>
        <w:tc>
          <w:tcPr>
            <w:tcW w:w="4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苗栗縣、臺中市、彰化縣、南投縣、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雲林縣、嘉義縣、嘉義市</w:t>
            </w:r>
          </w:p>
        </w:tc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國立臺灣體育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運動大學新教學大樓籃球場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8/2-8/3</w:t>
            </w:r>
          </w:p>
        </w:tc>
      </w:tr>
      <w:tr>
        <w:trPr>
          <w:trHeight w:val="750" w:hRule="auto"/>
          <w:jc w:val="left"/>
        </w:trPr>
        <w:tc>
          <w:tcPr>
            <w:tcW w:w="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東區</w:t>
            </w:r>
          </w:p>
        </w:tc>
        <w:tc>
          <w:tcPr>
            <w:tcW w:w="4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宜蘭縣、花蓮縣</w:t>
            </w:r>
          </w:p>
        </w:tc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國立東華大學美崙校區體育館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9/13-9/14</w:t>
            </w:r>
          </w:p>
        </w:tc>
      </w:tr>
    </w:tbl>
    <w:p>
      <w:pPr>
        <w:spacing w:before="0" w:after="0" w:line="240"/>
        <w:ind w:right="0" w:left="87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師資培育小組講師名單：</w:t>
      </w:r>
    </w:p>
    <w:tbl>
      <w:tblPr/>
      <w:tblGrid>
        <w:gridCol w:w="4380"/>
        <w:gridCol w:w="4380"/>
      </w:tblGrid>
      <w:tr>
        <w:trPr>
          <w:trHeight w:val="587" w:hRule="auto"/>
          <w:jc w:val="left"/>
        </w:trPr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姓名</w:t>
            </w:r>
          </w:p>
        </w:tc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資歷</w:t>
            </w:r>
          </w:p>
        </w:tc>
      </w:tr>
      <w:tr>
        <w:trPr>
          <w:trHeight w:val="476" w:hRule="auto"/>
          <w:jc w:val="left"/>
        </w:trPr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任兆亮</w:t>
            </w:r>
          </w:p>
        </w:tc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國手、國立臺北科大教授</w:t>
            </w:r>
          </w:p>
        </w:tc>
      </w:tr>
      <w:tr>
        <w:trPr>
          <w:trHeight w:val="476" w:hRule="auto"/>
          <w:jc w:val="left"/>
        </w:trPr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錢薇娟</w:t>
            </w:r>
          </w:p>
        </w:tc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國手、台電女籃隊總教練</w:t>
            </w:r>
          </w:p>
        </w:tc>
      </w:tr>
      <w:tr>
        <w:trPr>
          <w:trHeight w:val="476" w:hRule="auto"/>
          <w:jc w:val="left"/>
        </w:trPr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蔣憶德</w:t>
            </w:r>
          </w:p>
        </w:tc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國手、國立臺北科大教授</w:t>
            </w:r>
          </w:p>
        </w:tc>
      </w:tr>
      <w:tr>
        <w:trPr>
          <w:trHeight w:val="476" w:hRule="auto"/>
          <w:jc w:val="left"/>
        </w:trPr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顏行書</w:t>
            </w:r>
          </w:p>
        </w:tc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國手、國立體育大學男籃隊教練</w:t>
            </w:r>
          </w:p>
        </w:tc>
      </w:tr>
      <w:tr>
        <w:trPr>
          <w:trHeight w:val="476" w:hRule="auto"/>
          <w:jc w:val="left"/>
        </w:trPr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許晉哲</w:t>
            </w:r>
          </w:p>
        </w:tc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中華男籃隊總教練</w:t>
            </w:r>
          </w:p>
        </w:tc>
      </w:tr>
      <w:tr>
        <w:trPr>
          <w:trHeight w:val="476" w:hRule="auto"/>
          <w:jc w:val="left"/>
        </w:trPr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周俊三</w:t>
            </w:r>
          </w:p>
        </w:tc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國手、前中華男籃隊總教練、德霖技術學院講師</w:t>
            </w:r>
          </w:p>
        </w:tc>
      </w:tr>
      <w:tr>
        <w:trPr>
          <w:trHeight w:val="476" w:hRule="auto"/>
          <w:jc w:val="left"/>
        </w:trPr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林如瀚</w:t>
            </w:r>
          </w:p>
        </w:tc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亞青國手、國立東華大學教授</w:t>
            </w:r>
          </w:p>
        </w:tc>
      </w:tr>
      <w:tr>
        <w:trPr>
          <w:trHeight w:val="476" w:hRule="auto"/>
          <w:jc w:val="left"/>
        </w:trPr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王金城</w:t>
            </w:r>
          </w:p>
        </w:tc>
        <w:tc>
          <w:tcPr>
            <w:tcW w:w="4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醒吾科技大學教授、籃球隊教練</w:t>
            </w:r>
          </w:p>
        </w:tc>
      </w:tr>
    </w:tbl>
    <w:p>
      <w:pPr>
        <w:spacing w:before="0" w:after="0" w:line="240"/>
        <w:ind w:right="0" w:left="482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82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82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82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82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82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82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82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82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82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8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報名方式：</w:t>
      </w:r>
    </w:p>
    <w:p>
      <w:pPr>
        <w:numPr>
          <w:ilvl w:val="0"/>
          <w:numId w:val="58"/>
        </w:numPr>
        <w:spacing w:before="0" w:after="0" w:line="240"/>
        <w:ind w:right="0" w:left="120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請詳細填寫報名表各項資料，並確實勾選參加梯次。</w:t>
      </w:r>
    </w:p>
    <w:p>
      <w:pPr>
        <w:numPr>
          <w:ilvl w:val="0"/>
          <w:numId w:val="58"/>
        </w:numPr>
        <w:spacing w:before="0" w:after="0" w:line="240"/>
        <w:ind w:right="0" w:left="120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北、中、南三梯次依報名順序錄取各100名，東區錄取50名。</w:t>
      </w:r>
    </w:p>
    <w:p>
      <w:pPr>
        <w:numPr>
          <w:ilvl w:val="0"/>
          <w:numId w:val="58"/>
        </w:numPr>
        <w:spacing w:before="0" w:after="0" w:line="240"/>
        <w:ind w:right="0" w:left="120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報名時請繳交報名費新台幣500元，可採用郵政匯票或現金袋郵寄本會，不接受傳真及網路報名。</w:t>
      </w:r>
    </w:p>
    <w:p>
      <w:pPr>
        <w:numPr>
          <w:ilvl w:val="0"/>
          <w:numId w:val="58"/>
        </w:numPr>
        <w:spacing w:before="0" w:after="0" w:line="240"/>
        <w:ind w:right="0" w:left="120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報名截止日期：</w:t>
      </w:r>
    </w:p>
    <w:p>
      <w:pPr>
        <w:numPr>
          <w:ilvl w:val="0"/>
          <w:numId w:val="58"/>
        </w:numPr>
        <w:spacing w:before="0" w:after="0" w:line="240"/>
        <w:ind w:right="0" w:left="156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北區&amp;南區：103年6月18日(星期三)-以郵戳為憑</w:t>
      </w:r>
    </w:p>
    <w:p>
      <w:pPr>
        <w:numPr>
          <w:ilvl w:val="0"/>
          <w:numId w:val="58"/>
        </w:numPr>
        <w:spacing w:before="0" w:after="0" w:line="240"/>
        <w:ind w:right="0" w:left="1560" w:hanging="36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中區&amp;東區：103年7月16日(星期三)-以郵戳為憑</w:t>
      </w:r>
    </w:p>
    <w:p>
      <w:pPr>
        <w:numPr>
          <w:ilvl w:val="0"/>
          <w:numId w:val="58"/>
        </w:numPr>
        <w:spacing w:before="0" w:after="0" w:line="240"/>
        <w:ind w:right="0" w:left="120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聯絡方式：02-27112283  </w:t>
      </w:r>
    </w:p>
    <w:p>
      <w:pPr>
        <w:spacing w:before="0" w:after="0" w:line="240"/>
        <w:ind w:right="0" w:left="120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EMAIL：</w:t>
      </w:r>
      <w:hyperlink xmlns:r="http://schemas.openxmlformats.org/officeDocument/2006/relationships" r:id="docRId0">
        <w:r>
          <w:rPr>
            <w:rFonts w:ascii="標楷體" w:hAnsi="標楷體" w:cs="標楷體" w:eastAsia="標楷體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ctba_basket2006@yahoo.com.tw</w:t>
        </w:r>
      </w:hyperlink>
    </w:p>
    <w:p>
      <w:pPr>
        <w:spacing w:before="0" w:after="0" w:line="240"/>
        <w:ind w:right="0" w:left="120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地址：臺北市朱崙街20號603室</w:t>
      </w:r>
    </w:p>
    <w:p>
      <w:pPr>
        <w:numPr>
          <w:ilvl w:val="0"/>
          <w:numId w:val="63"/>
        </w:num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附則</w:t>
      </w:r>
    </w:p>
    <w:p>
      <w:pPr>
        <w:numPr>
          <w:ilvl w:val="0"/>
          <w:numId w:val="63"/>
        </w:numPr>
        <w:spacing w:before="0" w:after="0" w:line="240"/>
        <w:ind w:right="0" w:left="120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全程參加研習者發給研習證書並致贈教材及教學光碟，不另收費。</w:t>
      </w:r>
    </w:p>
    <w:p>
      <w:pPr>
        <w:numPr>
          <w:ilvl w:val="0"/>
          <w:numId w:val="63"/>
        </w:numPr>
        <w:spacing w:before="0" w:after="0" w:line="240"/>
        <w:ind w:right="0" w:left="120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參加本活動人員，惠請原服務單位核予公差假。</w:t>
      </w:r>
    </w:p>
    <w:p>
      <w:pPr>
        <w:numPr>
          <w:ilvl w:val="0"/>
          <w:numId w:val="63"/>
        </w:numPr>
        <w:spacing w:before="0" w:after="0" w:line="240"/>
        <w:ind w:right="0" w:left="120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參加活動人員之運動傷害意外保險由本會統籌辦理。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2">
    <w:abstractNumId w:val="42"/>
  </w:num>
  <w:num w:numId="4">
    <w:abstractNumId w:val="36"/>
  </w:num>
  <w:num w:numId="6">
    <w:abstractNumId w:val="30"/>
  </w:num>
  <w:num w:numId="11">
    <w:abstractNumId w:val="24"/>
  </w:num>
  <w:num w:numId="14">
    <w:abstractNumId w:val="18"/>
  </w:num>
  <w:num w:numId="28">
    <w:abstractNumId w:val="12"/>
  </w:num>
  <w:num w:numId="58">
    <w:abstractNumId w:val="6"/>
  </w:num>
  <w:num w:numId="6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tba_basket2006@yahoo.com.tw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